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lineRule="auto" w:line="288" w:before="0" w:after="0"/>
        <w:ind w:left="0" w:right="0" w:hanging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95250</wp:posOffset>
            </wp:positionH>
            <wp:positionV relativeFrom="paragraph">
              <wp:posOffset>-152400</wp:posOffset>
            </wp:positionV>
            <wp:extent cx="228600" cy="2286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Fossils resembling </w:t>
      </w:r>
      <w:r>
        <w:rPr>
          <w:rFonts w:ascii="inherit" w:hAnsi="inherit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E. melkiensis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 are present at Guyotville </w:t>
      </w:r>
      <w:hyperlink r:id="rId3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single"/>
            <w:effect w:val="none"/>
          </w:rPr>
          <w:t>Afrique du Nord, Guyotville (AÃ¯n Benian)</w:t>
        </w:r>
      </w:hyperlink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 (lower series GUY 118, Mc GUY 403, Mt GUY405 and 406) ; Aà¯n Tit Mellil (Mt MOC 24 and 25) ; and Sidi Bou Knabel (upper premolar MOC 1964-1-192, lower molar without number, metacarpals MOC 1961-1-5 and 6, probably first phalanx 1961-1-183) ; at Mugharat Elalya, Tanger (first phalanx 2A/C B2/70) and Salé, Morocco (MC).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Fossils resembling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aff.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melkiensis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are present at Guyotville [MC (GUY 399,400,401), MT (GUY 404), and small posterior phalanges (GUY 201, 470, 15, 16, 128, 129)]; Taforalt (posterior phalanx Tafo 7), and El Hahroura (posterior phalanx R9 19).</w:t>
      </w:r>
    </w:p>
    <w:p>
      <w:pPr>
        <w:pStyle w:val="TextBody"/>
        <w:widowControl/>
        <w:pBdr/>
        <w:bidi w:val="0"/>
        <w:spacing w:lineRule="auto" w:line="288" w:before="0" w:after="0"/>
        <w:ind w:left="0" w:right="0" w:hanging="0"/>
        <w:jc w:val="left"/>
        <w:rPr>
          <w:rFonts w:ascii="inherit" w:hAnsi="inherit"/>
          <w:b/>
          <w:i w:val="false"/>
          <w:caps w:val="false"/>
          <w:smallCaps w:val="false"/>
          <w:strike w:val="false"/>
          <w:dstrike w:val="false"/>
          <w:color w:val="FFFFFF"/>
          <w:spacing w:val="0"/>
          <w:sz w:val="21"/>
          <w:u w:val="none"/>
          <w:effect w:val="none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vera-eisenmann.com/ecrire/?exec=article&amp;id_article=2324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LibreOffice/7.4.3.2$Windows_X86_64 LibreOffice_project/1048a8393ae2eeec98dff31b5c133c5f1d08b890</Application>
  <AppVersion>15.0000</AppVersion>
  <Pages>1</Pages>
  <Words>107</Words>
  <Characters>560</Characters>
  <CharactersWithSpaces>665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2024-07-28T15:06:24Z</dcterms:created>
  <dc:creator/>
  <dc:description/>
  <dc:language>en-US</dc:language>
  <cp:lastModifiedBy/>
  <dcterms:modified xsi:type="dcterms:W3CDTF">2024-07-28T15:13:22Z</dcterms:modified>
  <cp:revision>4</cp:revision>
  <dc:subject/>
  <dc:title/>
</cp:coreProperties>
</file>